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EF" w:rsidRDefault="00EA4987">
      <w:r w:rsidRPr="00800F96">
        <w:rPr>
          <w:lang w:val="en-US"/>
        </w:rPr>
        <w:t>Definizione wonca</w:t>
      </w:r>
      <w:r w:rsidR="00800F96" w:rsidRPr="00800F96">
        <w:rPr>
          <w:rFonts w:ascii="Times" w:hAnsi="Times" w:cs="Times"/>
          <w:color w:val="000000"/>
          <w:lang w:val="en-US"/>
        </w:rPr>
        <w:t xml:space="preserve">WONCA, acronimo curioso che sembra preso in prestito dalla letteratura infantile, significa World Organization of National Colleges, Academies and Academic Associations of General Practitioners and Family Physicians. </w:t>
      </w:r>
      <w:r w:rsidR="00800F96">
        <w:rPr>
          <w:rFonts w:ascii="Times" w:hAnsi="Times" w:cs="Times"/>
          <w:color w:val="000000"/>
        </w:rPr>
        <w:t xml:space="preserve">Dall'anno scorso l'acronimo è stato semplificato in World </w:t>
      </w:r>
      <w:proofErr w:type="spellStart"/>
      <w:r w:rsidR="00800F96">
        <w:rPr>
          <w:rFonts w:ascii="Times" w:hAnsi="Times" w:cs="Times"/>
          <w:color w:val="000000"/>
        </w:rPr>
        <w:t>Organization</w:t>
      </w:r>
      <w:proofErr w:type="spellEnd"/>
      <w:r w:rsidR="00800F96">
        <w:rPr>
          <w:rFonts w:ascii="Times" w:hAnsi="Times" w:cs="Times"/>
          <w:color w:val="000000"/>
        </w:rPr>
        <w:t xml:space="preserve"> </w:t>
      </w:r>
      <w:proofErr w:type="spellStart"/>
      <w:r w:rsidR="00800F96">
        <w:rPr>
          <w:rFonts w:ascii="Times" w:hAnsi="Times" w:cs="Times"/>
          <w:color w:val="000000"/>
        </w:rPr>
        <w:t>of</w:t>
      </w:r>
      <w:proofErr w:type="spellEnd"/>
      <w:r w:rsidR="00800F96">
        <w:rPr>
          <w:rFonts w:ascii="Times" w:hAnsi="Times" w:cs="Times"/>
          <w:color w:val="000000"/>
        </w:rPr>
        <w:t xml:space="preserve"> Family </w:t>
      </w:r>
      <w:proofErr w:type="spellStart"/>
      <w:r w:rsidR="00800F96">
        <w:rPr>
          <w:rFonts w:ascii="Times" w:hAnsi="Times" w:cs="Times"/>
          <w:color w:val="000000"/>
        </w:rPr>
        <w:t>Doctor</w:t>
      </w:r>
      <w:proofErr w:type="spellEnd"/>
      <w:r w:rsidR="00800F96">
        <w:rPr>
          <w:rFonts w:ascii="Times" w:hAnsi="Times" w:cs="Times"/>
          <w:color w:val="000000"/>
        </w:rPr>
        <w:t xml:space="preserve">, denominazione che rende bene l'idea di una grande associazione mondiale: fondata nel 1972, comprende 58 organizzazioni di 53 stati per un totale di circa 150.000 iscritti. </w:t>
      </w:r>
      <w:r w:rsidR="00800F96">
        <w:rPr>
          <w:rFonts w:ascii="Times" w:hAnsi="Times" w:cs="Times"/>
          <w:color w:val="000000"/>
        </w:rPr>
        <w:br/>
        <w:t>La sezione europea della WONCA ha un suo organismo di rappresentanza, l'ESGP e FM (</w:t>
      </w:r>
      <w:proofErr w:type="spellStart"/>
      <w:r w:rsidR="00800F96">
        <w:rPr>
          <w:rFonts w:ascii="Times" w:hAnsi="Times" w:cs="Times"/>
          <w:color w:val="000000"/>
        </w:rPr>
        <w:t>European</w:t>
      </w:r>
      <w:proofErr w:type="spellEnd"/>
      <w:r w:rsidR="00800F96">
        <w:rPr>
          <w:rFonts w:ascii="Times" w:hAnsi="Times" w:cs="Times"/>
          <w:color w:val="000000"/>
        </w:rPr>
        <w:t xml:space="preserve"> Society </w:t>
      </w:r>
      <w:proofErr w:type="spellStart"/>
      <w:r w:rsidR="00800F96">
        <w:rPr>
          <w:rFonts w:ascii="Times" w:hAnsi="Times" w:cs="Times"/>
          <w:color w:val="000000"/>
        </w:rPr>
        <w:t>of</w:t>
      </w:r>
      <w:proofErr w:type="spellEnd"/>
      <w:r w:rsidR="00800F96">
        <w:rPr>
          <w:rFonts w:ascii="Times" w:hAnsi="Times" w:cs="Times"/>
          <w:color w:val="000000"/>
        </w:rPr>
        <w:t xml:space="preserve"> </w:t>
      </w:r>
      <w:proofErr w:type="spellStart"/>
      <w:r w:rsidR="00800F96">
        <w:rPr>
          <w:rFonts w:ascii="Times" w:hAnsi="Times" w:cs="Times"/>
          <w:color w:val="000000"/>
        </w:rPr>
        <w:t>General</w:t>
      </w:r>
      <w:proofErr w:type="spellEnd"/>
      <w:r w:rsidR="00800F96">
        <w:rPr>
          <w:rFonts w:ascii="Times" w:hAnsi="Times" w:cs="Times"/>
          <w:color w:val="000000"/>
        </w:rPr>
        <w:t xml:space="preserve"> </w:t>
      </w:r>
      <w:proofErr w:type="spellStart"/>
      <w:r w:rsidR="00800F96">
        <w:rPr>
          <w:rFonts w:ascii="Times" w:hAnsi="Times" w:cs="Times"/>
          <w:color w:val="000000"/>
        </w:rPr>
        <w:t>Practitioner</w:t>
      </w:r>
      <w:proofErr w:type="spellEnd"/>
      <w:r w:rsidR="00800F96">
        <w:rPr>
          <w:rFonts w:ascii="Times" w:hAnsi="Times" w:cs="Times"/>
          <w:color w:val="000000"/>
        </w:rPr>
        <w:t xml:space="preserve"> e Family Medicine), a cui aderiscono più di 30 organizzazioni per un totale di più di 45.000 medici di famiglia.</w:t>
      </w:r>
      <w:r w:rsidR="00800F96">
        <w:rPr>
          <w:rFonts w:ascii="Times" w:hAnsi="Times" w:cs="Times"/>
          <w:color w:val="000000"/>
        </w:rPr>
        <w:br/>
        <w:t xml:space="preserve">La presenza di rappresentanti nazionali all'interno della WONCA rispecchia spesso situazioni politiche e organizzative degli stati membri: così i Paesi scandinavi che già da alcuni decenni hanno strutturato l'organizzazione della medicina di famiglia in collegi hanno avuto più peso nella gestione della ESGP e FM. Altri Paesi, come la Spagna e, più recentemente, la Slovenia, hanno un passato poco brillante da riscattare per cui vedono l'opportunità di farsi conoscere agli occhi di tutta Europa. </w:t>
      </w:r>
      <w:r w:rsidR="00800F96">
        <w:rPr>
          <w:rFonts w:ascii="Times" w:hAnsi="Times" w:cs="Times"/>
          <w:color w:val="000000"/>
        </w:rPr>
        <w:br/>
        <w:t xml:space="preserve">Gli anglosassoni, potendo vantare il numero e l'autorevolezza delle loro pubblicazioni, si sono autoproclamati punto di riferimento. Ecco perché ci sono stati piccoli, come la Danimarca e la Slovenia, in grande evidenza e altri più grossi (per lo meno come numero di medici di famiglia) quali la Germania, la Francia e l'Italia poco visibili. Probabilmente la causa di questa ridotta rappresentanza va ricercata in alcune difficoltà istituzionali, o nella mancanza di un vero e proprio college dei medici di famiglia: in ogni caso l'esecutivo della WONCA pone una grande attenzione allo sviluppo della medicina generale in questi tre paesi. In Italia, oltre allo </w:t>
      </w:r>
      <w:proofErr w:type="spellStart"/>
      <w:r w:rsidR="00800F96">
        <w:rPr>
          <w:rFonts w:ascii="Times" w:hAnsi="Times" w:cs="Times"/>
          <w:color w:val="000000"/>
        </w:rPr>
        <w:t>CSeRMEG</w:t>
      </w:r>
      <w:proofErr w:type="spellEnd"/>
      <w:r w:rsidR="00800F96">
        <w:rPr>
          <w:rFonts w:ascii="Times" w:hAnsi="Times" w:cs="Times"/>
          <w:color w:val="000000"/>
        </w:rPr>
        <w:t>, che ha aderito alla WONCA dal 1991, tutte le organizzazioni scientifiche della medicina generale stanno dimostrando un interesse crescente per questa associazione internazionale.</w:t>
      </w:r>
    </w:p>
    <w:p w:rsidR="00EA4987" w:rsidRDefault="00EA4987"/>
    <w:p w:rsidR="00EA4987" w:rsidRPr="00B63D41" w:rsidRDefault="00EA4987" w:rsidP="00EA4987">
      <w:pPr>
        <w:pStyle w:val="Titolo"/>
        <w:rPr>
          <w:b w:val="0"/>
          <w:i/>
          <w:sz w:val="16"/>
          <w:szCs w:val="16"/>
        </w:rPr>
      </w:pPr>
      <w:r>
        <w:rPr>
          <w:sz w:val="24"/>
          <w:szCs w:val="24"/>
        </w:rPr>
        <w:t>(*)</w:t>
      </w:r>
      <w:r w:rsidRPr="00B63D41">
        <w:rPr>
          <w:b w:val="0"/>
          <w:i/>
          <w:sz w:val="16"/>
          <w:szCs w:val="16"/>
        </w:rPr>
        <w:t xml:space="preserve">DEFINIZIONE EUROPEA </w:t>
      </w:r>
      <w:proofErr w:type="spellStart"/>
      <w:r w:rsidRPr="00B63D41">
        <w:rPr>
          <w:b w:val="0"/>
          <w:i/>
          <w:sz w:val="16"/>
          <w:szCs w:val="16"/>
        </w:rPr>
        <w:t>DI</w:t>
      </w:r>
      <w:proofErr w:type="spellEnd"/>
      <w:r w:rsidRPr="00B63D41">
        <w:rPr>
          <w:b w:val="0"/>
          <w:i/>
          <w:sz w:val="16"/>
          <w:szCs w:val="16"/>
        </w:rPr>
        <w:t xml:space="preserve"> </w:t>
      </w:r>
    </w:p>
    <w:p w:rsidR="00EA4987" w:rsidRPr="00B63D41" w:rsidRDefault="00EA4987" w:rsidP="00EA4987">
      <w:pPr>
        <w:pStyle w:val="Sottotitolo"/>
        <w:rPr>
          <w:b w:val="0"/>
          <w:i/>
          <w:sz w:val="16"/>
          <w:szCs w:val="16"/>
        </w:rPr>
      </w:pPr>
      <w:r w:rsidRPr="00B63D41">
        <w:rPr>
          <w:b w:val="0"/>
          <w:i/>
          <w:sz w:val="16"/>
          <w:szCs w:val="16"/>
        </w:rPr>
        <w:t xml:space="preserve">MEDICINA GENERALE/MEDICINA </w:t>
      </w:r>
      <w:proofErr w:type="spellStart"/>
      <w:r w:rsidRPr="00B63D41">
        <w:rPr>
          <w:b w:val="0"/>
          <w:i/>
          <w:sz w:val="16"/>
          <w:szCs w:val="16"/>
        </w:rPr>
        <w:t>DI</w:t>
      </w:r>
      <w:proofErr w:type="spellEnd"/>
      <w:r w:rsidRPr="00B63D41">
        <w:rPr>
          <w:b w:val="0"/>
          <w:i/>
          <w:sz w:val="16"/>
          <w:szCs w:val="16"/>
        </w:rPr>
        <w:t xml:space="preserve"> FAMIGLIA</w:t>
      </w:r>
    </w:p>
    <w:p w:rsidR="00EA4987" w:rsidRPr="00EA4987" w:rsidRDefault="00EA4987" w:rsidP="00EA4987">
      <w:pPr>
        <w:pStyle w:val="Titolo4"/>
        <w:rPr>
          <w:b w:val="0"/>
          <w:i/>
          <w:szCs w:val="32"/>
        </w:rPr>
      </w:pPr>
      <w:r w:rsidRPr="00EA4987">
        <w:rPr>
          <w:b w:val="0"/>
          <w:i/>
          <w:szCs w:val="32"/>
        </w:rPr>
        <w:t xml:space="preserve">E </w:t>
      </w:r>
    </w:p>
    <w:p w:rsidR="00EA4987" w:rsidRPr="00EA4987" w:rsidRDefault="00EA4987" w:rsidP="00EA4987">
      <w:pPr>
        <w:jc w:val="center"/>
        <w:rPr>
          <w:rFonts w:ascii="Arial" w:hAnsi="Arial"/>
          <w:i/>
          <w:sz w:val="32"/>
          <w:szCs w:val="32"/>
        </w:rPr>
      </w:pPr>
      <w:r w:rsidRPr="00EA4987">
        <w:rPr>
          <w:rFonts w:ascii="Arial" w:hAnsi="Arial"/>
          <w:i/>
          <w:sz w:val="32"/>
          <w:szCs w:val="32"/>
        </w:rPr>
        <w:t xml:space="preserve">DESCRIZIONE DELLE COMPETENZE FONDAMENTALI DEL MEDICO </w:t>
      </w:r>
      <w:proofErr w:type="spellStart"/>
      <w:r w:rsidRPr="00EA4987">
        <w:rPr>
          <w:rFonts w:ascii="Arial" w:hAnsi="Arial"/>
          <w:i/>
          <w:sz w:val="32"/>
          <w:szCs w:val="32"/>
        </w:rPr>
        <w:t>DI</w:t>
      </w:r>
      <w:proofErr w:type="spellEnd"/>
      <w:r w:rsidRPr="00EA4987">
        <w:rPr>
          <w:rFonts w:ascii="Arial" w:hAnsi="Arial"/>
          <w:i/>
          <w:sz w:val="32"/>
          <w:szCs w:val="32"/>
        </w:rPr>
        <w:t xml:space="preserve"> MEDICINA GENERALE/MEDICO </w:t>
      </w:r>
      <w:proofErr w:type="spellStart"/>
      <w:r w:rsidRPr="00EA4987">
        <w:rPr>
          <w:rFonts w:ascii="Arial" w:hAnsi="Arial"/>
          <w:i/>
          <w:sz w:val="32"/>
          <w:szCs w:val="32"/>
        </w:rPr>
        <w:t>DI</w:t>
      </w:r>
      <w:proofErr w:type="spellEnd"/>
      <w:r w:rsidRPr="00EA4987">
        <w:rPr>
          <w:rFonts w:ascii="Arial" w:hAnsi="Arial"/>
          <w:i/>
          <w:sz w:val="32"/>
          <w:szCs w:val="32"/>
        </w:rPr>
        <w:t xml:space="preserve"> FAMIGLIA</w:t>
      </w:r>
    </w:p>
    <w:p w:rsidR="00EA4987" w:rsidRPr="00EA4987" w:rsidRDefault="00EA4987" w:rsidP="00EA4987">
      <w:pPr>
        <w:pStyle w:val="Corpodeltesto"/>
        <w:tabs>
          <w:tab w:val="left" w:pos="1980"/>
        </w:tabs>
        <w:jc w:val="left"/>
        <w:rPr>
          <w:rFonts w:ascii="Times New Roman" w:hAnsi="Times New Roman"/>
          <w:i/>
          <w:szCs w:val="32"/>
        </w:rPr>
      </w:pPr>
    </w:p>
    <w:p w:rsidR="00EA4987" w:rsidRPr="00EA4987" w:rsidRDefault="00EA4987" w:rsidP="00EA4987">
      <w:pPr>
        <w:pStyle w:val="Corpodeltesto"/>
        <w:tabs>
          <w:tab w:val="left" w:pos="1980"/>
        </w:tabs>
        <w:jc w:val="left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 xml:space="preserve">LE COMPETENZE FONDAMENTALI DEL MEDICO </w:t>
      </w:r>
      <w:proofErr w:type="spellStart"/>
      <w:r w:rsidRPr="00EA4987">
        <w:rPr>
          <w:rFonts w:ascii="Times New Roman" w:hAnsi="Times New Roman"/>
          <w:i/>
          <w:szCs w:val="32"/>
        </w:rPr>
        <w:t>DI</w:t>
      </w:r>
      <w:proofErr w:type="spellEnd"/>
      <w:r w:rsidRPr="00EA4987">
        <w:rPr>
          <w:rFonts w:ascii="Times New Roman" w:hAnsi="Times New Roman"/>
          <w:i/>
          <w:szCs w:val="32"/>
        </w:rPr>
        <w:t xml:space="preserve"> MEDICINA GENERALE/MEDICO </w:t>
      </w:r>
      <w:proofErr w:type="spellStart"/>
      <w:r w:rsidRPr="00EA4987">
        <w:rPr>
          <w:rFonts w:ascii="Times New Roman" w:hAnsi="Times New Roman"/>
          <w:i/>
          <w:szCs w:val="32"/>
        </w:rPr>
        <w:t>DI</w:t>
      </w:r>
      <w:proofErr w:type="spellEnd"/>
      <w:r w:rsidRPr="00EA4987">
        <w:rPr>
          <w:rFonts w:ascii="Times New Roman" w:hAnsi="Times New Roman"/>
          <w:i/>
          <w:szCs w:val="32"/>
        </w:rPr>
        <w:t xml:space="preserve"> FAMIGLIA:</w:t>
      </w:r>
    </w:p>
    <w:p w:rsidR="00EA4987" w:rsidRPr="00EA4987" w:rsidRDefault="00EA4987" w:rsidP="00EA4987">
      <w:pPr>
        <w:pStyle w:val="Corpodeltesto"/>
        <w:tabs>
          <w:tab w:val="left" w:pos="1980"/>
        </w:tabs>
        <w:jc w:val="left"/>
        <w:rPr>
          <w:rFonts w:ascii="Times New Roman" w:hAnsi="Times New Roman"/>
          <w:i/>
          <w:szCs w:val="32"/>
        </w:rPr>
      </w:pPr>
    </w:p>
    <w:p w:rsidR="00EA4987" w:rsidRPr="00EA4987" w:rsidRDefault="00EA4987" w:rsidP="00EA4987">
      <w:pPr>
        <w:pStyle w:val="Corpodeltesto"/>
        <w:numPr>
          <w:ilvl w:val="0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La gestione delle cure primarie include l’abilità:</w:t>
      </w:r>
    </w:p>
    <w:p w:rsidR="00EA4987" w:rsidRPr="00EA4987" w:rsidRDefault="00EA4987" w:rsidP="00EA4987">
      <w:pPr>
        <w:pStyle w:val="Corpodeltesto"/>
        <w:numPr>
          <w:ilvl w:val="1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di gestire il primo contatto con i pazienti, trattando problemi non selezionati;</w:t>
      </w:r>
    </w:p>
    <w:p w:rsidR="00EA4987" w:rsidRPr="00EA4987" w:rsidRDefault="00EA4987" w:rsidP="00EA4987">
      <w:pPr>
        <w:pStyle w:val="Corpodeltesto"/>
        <w:numPr>
          <w:ilvl w:val="1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di coprire l’intera gamma delle condizioni di salute;</w:t>
      </w:r>
    </w:p>
    <w:p w:rsidR="00EA4987" w:rsidRPr="00EA4987" w:rsidRDefault="00EA4987" w:rsidP="00EA4987">
      <w:pPr>
        <w:pStyle w:val="Corpodeltesto"/>
        <w:numPr>
          <w:ilvl w:val="1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 xml:space="preserve">di coordinare le terapie con altre figure professionali delle cure primarie e con altri specialisti </w:t>
      </w:r>
    </w:p>
    <w:p w:rsidR="00EA4987" w:rsidRPr="00EA4987" w:rsidRDefault="00EA4987" w:rsidP="00EA4987">
      <w:pPr>
        <w:pStyle w:val="Corpodeltesto"/>
        <w:numPr>
          <w:ilvl w:val="1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di assicurare l’erogazione di trattamenti efficaci ed appropriati e l’adeguato utilizzo del sistema sanitario;</w:t>
      </w:r>
    </w:p>
    <w:p w:rsidR="00EA4987" w:rsidRPr="00EA4987" w:rsidRDefault="00EA4987" w:rsidP="00EA4987">
      <w:pPr>
        <w:pStyle w:val="Corpodeltesto"/>
        <w:numPr>
          <w:ilvl w:val="1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di rendere disponibili ai pazienti i servizi appropriati nell’ambito del sistema sanitario;</w:t>
      </w:r>
    </w:p>
    <w:p w:rsidR="00EA4987" w:rsidRPr="00EA4987" w:rsidRDefault="00EA4987" w:rsidP="00EA4987">
      <w:pPr>
        <w:pStyle w:val="Corpodeltesto"/>
        <w:numPr>
          <w:ilvl w:val="1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lastRenderedPageBreak/>
        <w:t xml:space="preserve">di agire come patrocinatore degli interessi del paziente.  </w:t>
      </w:r>
    </w:p>
    <w:p w:rsidR="00EA4987" w:rsidRPr="00EA4987" w:rsidRDefault="00EA4987" w:rsidP="00EA4987">
      <w:pPr>
        <w:pStyle w:val="Corpodeltesto"/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</w:p>
    <w:p w:rsidR="00EA4987" w:rsidRPr="00EA4987" w:rsidRDefault="00EA4987" w:rsidP="00EA4987">
      <w:pPr>
        <w:pStyle w:val="Corpodeltesto"/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</w:p>
    <w:p w:rsidR="00EA4987" w:rsidRPr="00EA4987" w:rsidRDefault="00EA4987" w:rsidP="00EA4987">
      <w:pPr>
        <w:pStyle w:val="Corpodeltesto"/>
        <w:numPr>
          <w:ilvl w:val="0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 xml:space="preserve">La cura incentrata sulla persona include l’abilità: </w:t>
      </w:r>
    </w:p>
    <w:p w:rsidR="00EA4987" w:rsidRPr="00EA4987" w:rsidRDefault="00EA4987" w:rsidP="00EA4987">
      <w:pPr>
        <w:pStyle w:val="Corpodeltesto"/>
        <w:numPr>
          <w:ilvl w:val="1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Di adottare un approccio centrato sulla persona nel trattare con i pazienti e i problemi nel contesto delle circostanze del paziente;</w:t>
      </w:r>
    </w:p>
    <w:p w:rsidR="00EA4987" w:rsidRPr="00EA4987" w:rsidRDefault="00EA4987" w:rsidP="00EA4987">
      <w:pPr>
        <w:pStyle w:val="Corpodeltesto"/>
        <w:numPr>
          <w:ilvl w:val="1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D’impiegare la visita medica per costituire un’efficace relazione medico-paziente, nel rispetto dell’autonomia del paziente;</w:t>
      </w:r>
    </w:p>
    <w:p w:rsidR="00EA4987" w:rsidRPr="00EA4987" w:rsidRDefault="00EA4987" w:rsidP="00EA4987">
      <w:pPr>
        <w:pStyle w:val="Corpodeltesto"/>
        <w:numPr>
          <w:ilvl w:val="1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Di comunicare, porre le priorità e agire di comune accordo con il paziente;</w:t>
      </w:r>
    </w:p>
    <w:p w:rsidR="00EA4987" w:rsidRPr="00EA4987" w:rsidRDefault="00EA4987" w:rsidP="00EA4987">
      <w:pPr>
        <w:pStyle w:val="Corpodeltesto"/>
        <w:numPr>
          <w:ilvl w:val="1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Di fornire una continuità longitudinale del trattamento, in base alle necessità del paziente, avvalendosi di una gestione integrata e continua dell’assistenza sanitaria.</w:t>
      </w:r>
    </w:p>
    <w:p w:rsidR="00EA4987" w:rsidRPr="00EA4987" w:rsidRDefault="00EA4987" w:rsidP="00EA4987">
      <w:pPr>
        <w:pStyle w:val="Corpodeltesto"/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</w:p>
    <w:p w:rsidR="00EA4987" w:rsidRPr="00EA4987" w:rsidRDefault="00EA4987" w:rsidP="00EA4987">
      <w:pPr>
        <w:pStyle w:val="Corpodeltesto"/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</w:p>
    <w:p w:rsidR="00EA4987" w:rsidRPr="00EA4987" w:rsidRDefault="00EA4987" w:rsidP="00EA4987">
      <w:pPr>
        <w:pStyle w:val="Corpodeltesto"/>
        <w:numPr>
          <w:ilvl w:val="0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 xml:space="preserve">La capacità specifica di </w:t>
      </w:r>
      <w:proofErr w:type="spellStart"/>
      <w:r w:rsidRPr="00EA4987">
        <w:rPr>
          <w:rFonts w:ascii="Times New Roman" w:hAnsi="Times New Roman"/>
          <w:i/>
          <w:szCs w:val="32"/>
        </w:rPr>
        <w:t>problem-solving</w:t>
      </w:r>
      <w:proofErr w:type="spellEnd"/>
      <w:r w:rsidRPr="00EA4987">
        <w:rPr>
          <w:rFonts w:ascii="Times New Roman" w:hAnsi="Times New Roman"/>
          <w:i/>
          <w:szCs w:val="32"/>
        </w:rPr>
        <w:t xml:space="preserve"> include l’abilità:</w:t>
      </w:r>
    </w:p>
    <w:p w:rsidR="00EA4987" w:rsidRPr="00EA4987" w:rsidRDefault="00EA4987" w:rsidP="00EA4987">
      <w:pPr>
        <w:pStyle w:val="Corpodeltesto"/>
        <w:numPr>
          <w:ilvl w:val="1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Di correlare gli specifici processi decisionali con la prevalenza e l’incidenza delle malattie nella comunità;</w:t>
      </w:r>
    </w:p>
    <w:p w:rsidR="00EA4987" w:rsidRPr="00EA4987" w:rsidRDefault="00EA4987" w:rsidP="00EA4987">
      <w:pPr>
        <w:pStyle w:val="Corpodeltesto"/>
        <w:numPr>
          <w:ilvl w:val="1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Di raccogliere selettivamente e d’interpretare le informazioni fornite dall’anamnesi, dall’esame obiettivo e dalle indagini cliniche, applicandole in un appropriato piano di gestione in collaborazione con il paziente.</w:t>
      </w:r>
    </w:p>
    <w:p w:rsidR="00EA4987" w:rsidRPr="00EA4987" w:rsidRDefault="00EA4987" w:rsidP="00EA4987">
      <w:pPr>
        <w:pStyle w:val="Corpodeltesto"/>
        <w:numPr>
          <w:ilvl w:val="1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Di adottare appropriati principi di lavoro, per esempio, una diagnostica di tipo incrementale, usando il tempo come uno strumento e tollerando l’incertezza;</w:t>
      </w:r>
    </w:p>
    <w:p w:rsidR="00EA4987" w:rsidRPr="00EA4987" w:rsidRDefault="00EA4987" w:rsidP="00EA4987">
      <w:pPr>
        <w:pStyle w:val="Corpodeltesto"/>
        <w:numPr>
          <w:ilvl w:val="1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D’intervenire urgentemente quando necessario;</w:t>
      </w:r>
    </w:p>
    <w:p w:rsidR="00EA4987" w:rsidRPr="00EA4987" w:rsidRDefault="00EA4987" w:rsidP="00EA4987">
      <w:pPr>
        <w:pStyle w:val="Corpodeltesto"/>
        <w:numPr>
          <w:ilvl w:val="1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Di trattare condizioni che si presentano precocemente e in modo indifferenziato;</w:t>
      </w:r>
    </w:p>
    <w:p w:rsidR="00EA4987" w:rsidRPr="00EA4987" w:rsidRDefault="00EA4987" w:rsidP="00EA4987">
      <w:pPr>
        <w:pStyle w:val="Corpodeltesto"/>
        <w:numPr>
          <w:ilvl w:val="1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Di usare in modo efficace ed efficiente gli strumenti diagnostici e gli interventi terapeutici.</w:t>
      </w:r>
    </w:p>
    <w:p w:rsidR="00EA4987" w:rsidRPr="00EA4987" w:rsidRDefault="00EA4987" w:rsidP="00EA4987">
      <w:pPr>
        <w:pStyle w:val="Corpodeltesto"/>
        <w:tabs>
          <w:tab w:val="left" w:pos="1980"/>
        </w:tabs>
        <w:ind w:left="1080"/>
        <w:jc w:val="both"/>
        <w:rPr>
          <w:rFonts w:ascii="Times New Roman" w:hAnsi="Times New Roman"/>
          <w:i/>
          <w:szCs w:val="32"/>
        </w:rPr>
      </w:pPr>
    </w:p>
    <w:p w:rsidR="00EA4987" w:rsidRPr="00EA4987" w:rsidRDefault="00EA4987" w:rsidP="00EA4987">
      <w:pPr>
        <w:pStyle w:val="Corpodeltesto"/>
        <w:numPr>
          <w:ilvl w:val="0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L’approccio globale include l’abilità:</w:t>
      </w:r>
    </w:p>
    <w:p w:rsidR="00EA4987" w:rsidRPr="00EA4987" w:rsidRDefault="00EA4987" w:rsidP="00EA4987">
      <w:pPr>
        <w:pStyle w:val="Corpodeltesto"/>
        <w:numPr>
          <w:ilvl w:val="1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Di gestire simultaneamente disturbi e patologie multiple, sia acute che croniche, nel singolo soggetto</w:t>
      </w:r>
    </w:p>
    <w:p w:rsidR="00EA4987" w:rsidRPr="00EA4987" w:rsidRDefault="00EA4987" w:rsidP="00EA4987">
      <w:pPr>
        <w:pStyle w:val="Corpodeltesto"/>
        <w:numPr>
          <w:ilvl w:val="1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Di promuovere la salute e il benessere applicando appropriatamente le strategie di promozione della salute</w:t>
      </w:r>
    </w:p>
    <w:p w:rsidR="00EA4987" w:rsidRPr="00EA4987" w:rsidRDefault="00EA4987" w:rsidP="00EA4987">
      <w:pPr>
        <w:pStyle w:val="Corpodeltesto"/>
        <w:numPr>
          <w:ilvl w:val="1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lastRenderedPageBreak/>
        <w:t>Di gestire e coordinare la promozione della salute, la prevenzione, la terapia, l’assistenza, le cure palliative e la riabilitazione.</w:t>
      </w:r>
    </w:p>
    <w:p w:rsidR="00EA4987" w:rsidRPr="00EA4987" w:rsidRDefault="00EA4987" w:rsidP="00EA4987">
      <w:pPr>
        <w:pStyle w:val="Corpodeltesto"/>
        <w:tabs>
          <w:tab w:val="left" w:pos="1980"/>
        </w:tabs>
        <w:ind w:left="1080"/>
        <w:jc w:val="both"/>
        <w:rPr>
          <w:rFonts w:ascii="Times New Roman" w:hAnsi="Times New Roman"/>
          <w:i/>
          <w:szCs w:val="32"/>
        </w:rPr>
      </w:pPr>
    </w:p>
    <w:p w:rsidR="00EA4987" w:rsidRPr="00EA4987" w:rsidRDefault="00EA4987" w:rsidP="00EA4987">
      <w:pPr>
        <w:pStyle w:val="Corpodeltesto"/>
        <w:numPr>
          <w:ilvl w:val="0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L’orientamento verso la comunità include l’abilità:</w:t>
      </w:r>
    </w:p>
    <w:p w:rsidR="00EA4987" w:rsidRPr="00EA4987" w:rsidRDefault="00EA4987" w:rsidP="00EA4987">
      <w:pPr>
        <w:pStyle w:val="Corpodeltesto"/>
        <w:numPr>
          <w:ilvl w:val="1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Di conciliare le necessità di salute dei singoli pazienti con quelle della comunità in cui vivono con un giusto bilanciamento delle risorse disponibili.</w:t>
      </w:r>
    </w:p>
    <w:p w:rsidR="00EA4987" w:rsidRPr="00EA4987" w:rsidRDefault="00EA4987" w:rsidP="00EA4987">
      <w:pPr>
        <w:pStyle w:val="Corpodeltesto"/>
        <w:tabs>
          <w:tab w:val="left" w:pos="1980"/>
        </w:tabs>
        <w:ind w:left="1080"/>
        <w:jc w:val="both"/>
        <w:rPr>
          <w:rFonts w:ascii="Times New Roman" w:hAnsi="Times New Roman"/>
          <w:i/>
          <w:szCs w:val="32"/>
        </w:rPr>
      </w:pPr>
    </w:p>
    <w:p w:rsidR="00EA4987" w:rsidRPr="00EA4987" w:rsidRDefault="00EA4987" w:rsidP="00EA4987">
      <w:pPr>
        <w:pStyle w:val="Corpodeltesto"/>
        <w:numPr>
          <w:ilvl w:val="0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L’approccio secondo il modello olistico include l’abilità:</w:t>
      </w:r>
    </w:p>
    <w:p w:rsidR="00EA4987" w:rsidRPr="00EA4987" w:rsidRDefault="00EA4987" w:rsidP="00EA4987">
      <w:pPr>
        <w:pStyle w:val="Corpodeltesto"/>
        <w:numPr>
          <w:ilvl w:val="1"/>
          <w:numId w:val="1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 xml:space="preserve">Di usare un modello </w:t>
      </w:r>
      <w:proofErr w:type="spellStart"/>
      <w:r w:rsidRPr="00EA4987">
        <w:rPr>
          <w:rFonts w:ascii="Times New Roman" w:hAnsi="Times New Roman"/>
          <w:i/>
          <w:szCs w:val="32"/>
        </w:rPr>
        <w:t>bio-psico-sociale</w:t>
      </w:r>
      <w:proofErr w:type="spellEnd"/>
      <w:r w:rsidRPr="00EA4987">
        <w:rPr>
          <w:rFonts w:ascii="Times New Roman" w:hAnsi="Times New Roman"/>
          <w:i/>
          <w:szCs w:val="32"/>
        </w:rPr>
        <w:t xml:space="preserve"> che prenda in considerazione le dimensioni culturali ed esistenziali dell’individuo.</w:t>
      </w:r>
    </w:p>
    <w:p w:rsidR="00EA4987" w:rsidRPr="00EA4987" w:rsidRDefault="00EA4987" w:rsidP="00EA4987">
      <w:pPr>
        <w:pStyle w:val="Corpodeltesto"/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</w:p>
    <w:p w:rsidR="00EA4987" w:rsidRPr="00EA4987" w:rsidRDefault="00EA4987" w:rsidP="00EA4987">
      <w:pPr>
        <w:pStyle w:val="Corpodeltesto"/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</w:p>
    <w:p w:rsidR="00EA4987" w:rsidRPr="00EA4987" w:rsidRDefault="00EA4987" w:rsidP="00EA4987">
      <w:pPr>
        <w:pStyle w:val="Corpodeltesto"/>
        <w:tabs>
          <w:tab w:val="left" w:pos="1980"/>
        </w:tabs>
        <w:jc w:val="left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LE TRE AREE D’IMPLEMENTAZIONE:</w:t>
      </w:r>
    </w:p>
    <w:p w:rsidR="00EA4987" w:rsidRPr="00EA4987" w:rsidRDefault="00EA4987" w:rsidP="00EA4987">
      <w:pPr>
        <w:pStyle w:val="Corpodeltesto"/>
        <w:tabs>
          <w:tab w:val="left" w:pos="1980"/>
        </w:tabs>
        <w:jc w:val="left"/>
        <w:rPr>
          <w:rFonts w:ascii="Times New Roman" w:hAnsi="Times New Roman"/>
          <w:i/>
          <w:szCs w:val="32"/>
        </w:rPr>
      </w:pPr>
    </w:p>
    <w:p w:rsidR="00EA4987" w:rsidRPr="00EA4987" w:rsidRDefault="00EA4987" w:rsidP="00EA4987">
      <w:pPr>
        <w:pStyle w:val="Corpodeltesto"/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Nel praticare la propria specializzazione il Medico di Medicina Generale implementa queste competenze in tre importanti aree:</w:t>
      </w:r>
    </w:p>
    <w:p w:rsidR="00EA4987" w:rsidRPr="00EA4987" w:rsidRDefault="00EA4987" w:rsidP="00EA4987">
      <w:pPr>
        <w:pStyle w:val="Corpodeltesto"/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</w:p>
    <w:p w:rsidR="00EA4987" w:rsidRPr="00EA4987" w:rsidRDefault="00EA4987" w:rsidP="00EA4987">
      <w:pPr>
        <w:pStyle w:val="Corpodeltesto"/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A. COMPITI CLINICI:</w:t>
      </w:r>
    </w:p>
    <w:p w:rsidR="00EA4987" w:rsidRPr="00EA4987" w:rsidRDefault="00EA4987" w:rsidP="00EA4987">
      <w:pPr>
        <w:pStyle w:val="Corpodeltesto"/>
        <w:numPr>
          <w:ilvl w:val="0"/>
          <w:numId w:val="2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abilità nel gestire un’ampia gamma di disturbi, problemi e malattie così come si presentano;</w:t>
      </w:r>
    </w:p>
    <w:p w:rsidR="00EA4987" w:rsidRPr="00EA4987" w:rsidRDefault="00EA4987" w:rsidP="00EA4987">
      <w:pPr>
        <w:pStyle w:val="Corpodeltesto"/>
        <w:numPr>
          <w:ilvl w:val="0"/>
          <w:numId w:val="3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gestire il trattamento anche a lungo termine e il follow-up;</w:t>
      </w:r>
    </w:p>
    <w:p w:rsidR="00EA4987" w:rsidRPr="00EA4987" w:rsidRDefault="00EA4987" w:rsidP="00EA4987">
      <w:pPr>
        <w:pStyle w:val="Corpodeltesto"/>
        <w:numPr>
          <w:ilvl w:val="0"/>
          <w:numId w:val="3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bilanciare l’evidenza scientifica e l’esperienza in modo efficace.</w:t>
      </w:r>
    </w:p>
    <w:p w:rsidR="00EA4987" w:rsidRPr="00EA4987" w:rsidRDefault="00EA4987" w:rsidP="00EA4987">
      <w:pPr>
        <w:pStyle w:val="Corpodeltesto"/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</w:p>
    <w:p w:rsidR="00EA4987" w:rsidRPr="00EA4987" w:rsidRDefault="00EA4987" w:rsidP="00EA4987">
      <w:pPr>
        <w:pStyle w:val="Corpodeltesto"/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B. COMUNICAZIONE CON I PAZIENTI:</w:t>
      </w:r>
    </w:p>
    <w:p w:rsidR="00EA4987" w:rsidRPr="00EA4987" w:rsidRDefault="00EA4987" w:rsidP="00EA4987">
      <w:pPr>
        <w:pStyle w:val="Corpodeltesto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abilità di strutturare la consultazione;</w:t>
      </w:r>
    </w:p>
    <w:p w:rsidR="00EA4987" w:rsidRPr="00EA4987" w:rsidRDefault="00EA4987" w:rsidP="00EA4987">
      <w:pPr>
        <w:pStyle w:val="Corpodeltesto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fornire informazioni facilmente comprensibili e spiegare i percorsi e i reperti clinici;</w:t>
      </w:r>
    </w:p>
    <w:p w:rsidR="00EA4987" w:rsidRPr="00EA4987" w:rsidRDefault="00EA4987" w:rsidP="00EA4987">
      <w:pPr>
        <w:pStyle w:val="Corpodeltesto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comprendere e gestire adeguatamente differenti emozioni.</w:t>
      </w:r>
    </w:p>
    <w:p w:rsidR="00EA4987" w:rsidRPr="00EA4987" w:rsidRDefault="00EA4987" w:rsidP="00EA4987">
      <w:pPr>
        <w:pStyle w:val="Corpodeltesto"/>
        <w:numPr>
          <w:ilvl w:val="0"/>
          <w:numId w:val="4"/>
        </w:numPr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</w:p>
    <w:p w:rsidR="00EA4987" w:rsidRPr="00EA4987" w:rsidRDefault="00EA4987" w:rsidP="00EA4987">
      <w:pPr>
        <w:pStyle w:val="Corpodeltesto"/>
        <w:tabs>
          <w:tab w:val="left" w:pos="1980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C. GESTIONE DELL’ATTIVITÀ PROFESSIONALE:</w:t>
      </w:r>
    </w:p>
    <w:p w:rsidR="00EA4987" w:rsidRPr="00EA4987" w:rsidRDefault="00EA4987" w:rsidP="00EA4987">
      <w:pPr>
        <w:pStyle w:val="Corpodeltesto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fornire un’appropriata accessibilità e disponibilità ai pazienti;</w:t>
      </w:r>
    </w:p>
    <w:p w:rsidR="00EA4987" w:rsidRPr="00EA4987" w:rsidRDefault="00EA4987" w:rsidP="00EA4987">
      <w:pPr>
        <w:pStyle w:val="Corpodeltesto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 xml:space="preserve">organizzare, gestire in modo efficace le risorse umane e finanziarie dello studio medico e </w:t>
      </w:r>
      <w:r w:rsidRPr="00EA4987">
        <w:rPr>
          <w:rFonts w:ascii="Times New Roman" w:hAnsi="Times New Roman"/>
          <w:i/>
          <w:szCs w:val="32"/>
        </w:rPr>
        <w:lastRenderedPageBreak/>
        <w:t>collaborare con i team delle varie figure professionali;</w:t>
      </w:r>
    </w:p>
    <w:p w:rsidR="00EA4987" w:rsidRPr="00EA4987" w:rsidRDefault="00EA4987" w:rsidP="00EA4987">
      <w:pPr>
        <w:pStyle w:val="Corpodeltesto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/>
          <w:i/>
          <w:szCs w:val="32"/>
        </w:rPr>
      </w:pPr>
      <w:r w:rsidRPr="00EA4987">
        <w:rPr>
          <w:rFonts w:ascii="Times New Roman" w:hAnsi="Times New Roman"/>
          <w:i/>
          <w:szCs w:val="32"/>
        </w:rPr>
        <w:t>cooperare con altre figure professionali coinvolte nelle cure primarie e con altri specialisti.</w:t>
      </w:r>
    </w:p>
    <w:p w:rsidR="00EA4987" w:rsidRPr="00C04860" w:rsidRDefault="00EA4987" w:rsidP="00EA4987">
      <w:pPr>
        <w:rPr>
          <w:rFonts w:ascii="Arial" w:hAnsi="Arial"/>
          <w:sz w:val="24"/>
          <w:szCs w:val="24"/>
        </w:rPr>
      </w:pPr>
    </w:p>
    <w:p w:rsidR="00EA4987" w:rsidRPr="00EA4987" w:rsidRDefault="00EA4987">
      <w:pPr>
        <w:rPr>
          <w:sz w:val="28"/>
          <w:szCs w:val="28"/>
        </w:rPr>
      </w:pPr>
    </w:p>
    <w:sectPr w:rsidR="00EA4987" w:rsidRPr="00EA4987" w:rsidSect="00862E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887"/>
    <w:multiLevelType w:val="multilevel"/>
    <w:tmpl w:val="B59A79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F17BA"/>
    <w:multiLevelType w:val="multilevel"/>
    <w:tmpl w:val="B59A79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D29C1"/>
    <w:multiLevelType w:val="multilevel"/>
    <w:tmpl w:val="0DB0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D2C75"/>
    <w:multiLevelType w:val="multilevel"/>
    <w:tmpl w:val="82D4656A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4987"/>
    <w:rsid w:val="00800F96"/>
    <w:rsid w:val="00862EEF"/>
    <w:rsid w:val="00EA4987"/>
    <w:rsid w:val="00EB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EEF"/>
  </w:style>
  <w:style w:type="paragraph" w:styleId="Titolo4">
    <w:name w:val="heading 4"/>
    <w:basedOn w:val="Normale"/>
    <w:next w:val="Normale"/>
    <w:link w:val="Titolo4Carattere"/>
    <w:qFormat/>
    <w:rsid w:val="00EA4987"/>
    <w:pPr>
      <w:keepNext/>
      <w:spacing w:after="0" w:line="240" w:lineRule="auto"/>
      <w:jc w:val="center"/>
      <w:outlineLvl w:val="3"/>
    </w:pPr>
    <w:rPr>
      <w:rFonts w:ascii="Arial" w:eastAsia="Arial Unicode MS" w:hAnsi="Arial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A4987"/>
    <w:rPr>
      <w:rFonts w:ascii="Arial" w:eastAsia="Arial Unicode MS" w:hAnsi="Arial" w:cs="Times New Roman"/>
      <w:b/>
      <w:sz w:val="32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EA4987"/>
    <w:pPr>
      <w:spacing w:after="0" w:line="240" w:lineRule="auto"/>
      <w:jc w:val="center"/>
    </w:pPr>
    <w:rPr>
      <w:rFonts w:ascii="Tahoma" w:eastAsia="Times New Roman" w:hAnsi="Tahoma" w:cs="Times New Roman"/>
      <w:sz w:val="32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EA4987"/>
    <w:rPr>
      <w:rFonts w:ascii="Tahoma" w:eastAsia="Times New Roman" w:hAnsi="Tahoma" w:cs="Times New Roman"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A4987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A4987"/>
    <w:rPr>
      <w:rFonts w:ascii="Arial" w:eastAsia="Times New Roman" w:hAnsi="Arial" w:cs="Times New Roman"/>
      <w:b/>
      <w:sz w:val="36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EA4987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A4987"/>
    <w:rPr>
      <w:rFonts w:ascii="Arial" w:eastAsia="Times New Roman" w:hAnsi="Arial" w:cs="Times New Roman"/>
      <w:b/>
      <w:sz w:val="3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Teodoro Raciti</dc:creator>
  <cp:lastModifiedBy>Teodoro Raciti</cp:lastModifiedBy>
  <cp:revision>3</cp:revision>
  <dcterms:created xsi:type="dcterms:W3CDTF">2008-02-23T17:51:00Z</dcterms:created>
  <dcterms:modified xsi:type="dcterms:W3CDTF">2008-02-23T17:56:00Z</dcterms:modified>
</cp:coreProperties>
</file>